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5B29D" w14:textId="77777777" w:rsidR="008968BE" w:rsidRPr="00DD468C" w:rsidRDefault="00822A36" w:rsidP="008968B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 xml:space="preserve">Supplemental </w:t>
      </w:r>
      <w:r w:rsidR="00947EC2" w:rsidRPr="00DD468C">
        <w:rPr>
          <w:rFonts w:cs="Helvetica"/>
          <w:b/>
        </w:rPr>
        <w:t>Figure Legends</w:t>
      </w:r>
    </w:p>
    <w:p w14:paraId="2C00DD61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Figure S1. p53 is poised on recognition motifs in healthy fibroblasts</w:t>
      </w:r>
    </w:p>
    <w:p w14:paraId="081ACE69" w14:textId="6F570A7F" w:rsidR="004325E5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</w:rPr>
        <w:t>(A</w:t>
      </w:r>
      <w:r w:rsidR="00935BA2" w:rsidRPr="00DD468C">
        <w:rPr>
          <w:rFonts w:cs="Helvetica"/>
        </w:rPr>
        <w:t xml:space="preserve"> and</w:t>
      </w:r>
      <w:r w:rsidR="00382740" w:rsidRPr="00DD468C">
        <w:rPr>
          <w:rFonts w:cs="Helvetica"/>
        </w:rPr>
        <w:t xml:space="preserve"> B</w:t>
      </w:r>
      <w:r w:rsidRPr="00DD468C">
        <w:rPr>
          <w:rFonts w:cs="Helvetica"/>
        </w:rPr>
        <w:t>)</w:t>
      </w:r>
      <w:r w:rsidRPr="00DD468C">
        <w:t xml:space="preserve"> </w:t>
      </w:r>
      <w:r w:rsidRPr="00DD468C">
        <w:rPr>
          <w:rFonts w:cs="Helvetica"/>
        </w:rPr>
        <w:t xml:space="preserve">ChIP-qPCR analysis of </w:t>
      </w:r>
      <w:r w:rsidR="00382740" w:rsidRPr="00DD468C">
        <w:rPr>
          <w:rFonts w:cs="Helvetica"/>
        </w:rPr>
        <w:t xml:space="preserve">(A) </w:t>
      </w:r>
      <w:r w:rsidRPr="00DD468C">
        <w:rPr>
          <w:rFonts w:cs="Helvetica"/>
        </w:rPr>
        <w:t>p53</w:t>
      </w:r>
      <w:r w:rsidR="00382740" w:rsidRPr="00DD468C">
        <w:rPr>
          <w:rFonts w:cs="Helvetica"/>
        </w:rPr>
        <w:t xml:space="preserve"> and (B) phospho-p53 </w:t>
      </w:r>
      <w:r w:rsidRPr="00DD468C">
        <w:rPr>
          <w:rFonts w:cs="Helvetica"/>
        </w:rPr>
        <w:t xml:space="preserve">occupancy at the p21 promoter following doxorubicin treatment. </w:t>
      </w:r>
      <w:r w:rsidR="00716E55" w:rsidRPr="00DD468C">
        <w:rPr>
          <w:rFonts w:cs="Helvetica"/>
        </w:rPr>
        <w:t>Error bars indicate SEM (n = 3)</w:t>
      </w:r>
      <w:r w:rsidRPr="00DD468C">
        <w:rPr>
          <w:rFonts w:cs="Helvetica"/>
        </w:rPr>
        <w:t>. P-values were calculated using the two-tailed unpaired Student’s t-test with equal variances. (***) P&lt;0.001. (C</w:t>
      </w:r>
      <w:r w:rsidR="00935BA2" w:rsidRPr="00DD468C">
        <w:rPr>
          <w:rFonts w:cs="Helvetica"/>
        </w:rPr>
        <w:t xml:space="preserve"> and </w:t>
      </w:r>
      <w:r w:rsidR="00BC2258" w:rsidRPr="00DD468C">
        <w:rPr>
          <w:rFonts w:cs="Helvetica"/>
        </w:rPr>
        <w:t>D</w:t>
      </w:r>
      <w:r w:rsidRPr="00DD468C">
        <w:rPr>
          <w:rFonts w:cs="Helvetica"/>
        </w:rPr>
        <w:t xml:space="preserve">) </w:t>
      </w:r>
      <w:r w:rsidR="004325E5" w:rsidRPr="00DD468C">
        <w:rPr>
          <w:rFonts w:cs="Helvetica"/>
        </w:rPr>
        <w:t>MPRA analysis of basal enhancer activity</w:t>
      </w:r>
      <w:r w:rsidR="0082728D" w:rsidRPr="00DD468C">
        <w:rPr>
          <w:rFonts w:cs="Helvetica"/>
        </w:rPr>
        <w:t xml:space="preserve"> from all sequences in the MPRA oligonucleotide library</w:t>
      </w:r>
      <w:r w:rsidR="004325E5" w:rsidRPr="00DD468C">
        <w:rPr>
          <w:rFonts w:cs="Helvetica"/>
        </w:rPr>
        <w:t xml:space="preserve"> in untreated</w:t>
      </w:r>
      <w:r w:rsidR="003335E8" w:rsidRPr="00DD468C">
        <w:rPr>
          <w:rFonts w:cs="Helvetica"/>
        </w:rPr>
        <w:t xml:space="preserve"> </w:t>
      </w:r>
      <w:r w:rsidR="007C3601" w:rsidRPr="00DD468C">
        <w:rPr>
          <w:rFonts w:cs="Helvetica"/>
        </w:rPr>
        <w:t xml:space="preserve">cells </w:t>
      </w:r>
      <w:r w:rsidR="003335E8" w:rsidRPr="00DD468C">
        <w:rPr>
          <w:rFonts w:cs="Helvetica"/>
        </w:rPr>
        <w:t>using (C) Promoter-Proximal and (D</w:t>
      </w:r>
      <w:r w:rsidR="004325E5" w:rsidRPr="00DD468C">
        <w:rPr>
          <w:rFonts w:cs="Helvetica"/>
        </w:rPr>
        <w:t xml:space="preserve">) Promoter-Distal MPRA methods. </w:t>
      </w:r>
      <w:r w:rsidR="003335E8" w:rsidRPr="00DD468C">
        <w:rPr>
          <w:rFonts w:cs="Helvetica"/>
        </w:rPr>
        <w:t>P-values were calculated using the two-tailed unpaired Student’s t-test with equal variances. (***) P&lt;0.001</w:t>
      </w:r>
      <w:r w:rsidR="003A2E9A">
        <w:rPr>
          <w:rFonts w:cs="Helvetica"/>
        </w:rPr>
        <w:t>.</w:t>
      </w:r>
    </w:p>
    <w:p w14:paraId="0E51B345" w14:textId="77777777" w:rsidR="003A2E9A" w:rsidRPr="00DD468C" w:rsidRDefault="003A2E9A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</w:p>
    <w:p w14:paraId="046C0A71" w14:textId="77777777" w:rsidR="003A2E9A" w:rsidRPr="00DD468C" w:rsidRDefault="003A2E9A" w:rsidP="003A2E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</w:t>
      </w:r>
      <w:r>
        <w:rPr>
          <w:rFonts w:cs="Helvetica"/>
          <w:b/>
        </w:rPr>
        <w:t xml:space="preserve"> Figure S2</w:t>
      </w:r>
      <w:r w:rsidRPr="00DD468C">
        <w:rPr>
          <w:rFonts w:cs="Helvetica"/>
          <w:b/>
        </w:rPr>
        <w:t>. p53 regulates chromatin accessibility in response to nutlin treatment</w:t>
      </w:r>
    </w:p>
    <w:p w14:paraId="3FD94C52" w14:textId="3FEF138D" w:rsidR="003A2E9A" w:rsidRPr="00DD468C" w:rsidRDefault="003A2E9A" w:rsidP="003A2E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</w:rPr>
        <w:t>(A) Basal ATAC-Seq read coverage at p53 binding sites in DMSO-treated IMR90 fibroblasts (categorized by chromatin accessibility in GM06170 fibroblasts). P-values were calculated using the two-tailed unpaired Student’s t-test with equal variances.</w:t>
      </w:r>
      <w:r w:rsidR="006D4200">
        <w:rPr>
          <w:rFonts w:cs="Helvetica"/>
        </w:rPr>
        <w:t xml:space="preserve"> (***) P&lt;0.001</w:t>
      </w:r>
      <w:r w:rsidRPr="00DD468C">
        <w:rPr>
          <w:rFonts w:cs="Helvetica"/>
        </w:rPr>
        <w:t>. (B) Differential ATAC-Seq read coverage at p53 binding sites in nutlin-treated IMR90 fibroblasts (categorized by chromatin accessibility in GM06170 fibroblasts). P-values were calculated using the two-tailed unpaired Student’s t-test with equal variances. (***) P&lt;0.001. (C) Examples of chromatin accessibility profiles at p53 binding sites within constitutively inaccessible chromatin, constitutively accessible chromatin, and pioneering sites in IMR90 fibroblasts.</w:t>
      </w:r>
    </w:p>
    <w:p w14:paraId="4156A381" w14:textId="77777777" w:rsidR="0031354B" w:rsidRDefault="0031354B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</w:p>
    <w:p w14:paraId="1C099FC3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Figure S3. Pioneering activity at p53-bound enhancers is associated with gene activation</w:t>
      </w:r>
    </w:p>
    <w:p w14:paraId="3842B323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</w:rPr>
        <w:t>(A) Differential expression of genes located near p53 binding sites (categorized by chromatin accessibility) in response to doxorubicin treatment. P-values were calculated using the two-tailed unpaired Student’s t-test with equal variances. (**) P&lt;0.01, (*) P&lt;0.05. (B) Basal expression of genes located near p53 binding sites (categorized by chromatin accessibility). P-values were calculated using the two-tailed unpaired Student’s t-test with equal variances. (***) P&lt;0.001 , (**) P&lt;0.01.</w:t>
      </w:r>
    </w:p>
    <w:p w14:paraId="778755F4" w14:textId="77777777" w:rsidR="009D6775" w:rsidRPr="00DD468C" w:rsidRDefault="009D6775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</w:p>
    <w:p w14:paraId="181518E6" w14:textId="054A583B" w:rsidR="00DB4EA0" w:rsidRPr="00DD468C" w:rsidRDefault="00247C12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>
        <w:rPr>
          <w:rFonts w:cs="Helvetica"/>
          <w:b/>
        </w:rPr>
        <w:t>Supplemental Figure S4</w:t>
      </w:r>
      <w:r w:rsidR="00DB4EA0" w:rsidRPr="00DD468C">
        <w:rPr>
          <w:rFonts w:cs="Helvetica"/>
          <w:b/>
        </w:rPr>
        <w:t>. Pioneering activity at p53-bound enhancers is associated with enhancer activation</w:t>
      </w:r>
    </w:p>
    <w:p w14:paraId="7C68EA85" w14:textId="61E349FA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</w:rPr>
        <w:t>(A) Basal eRNA expression at p53 binding sites</w:t>
      </w:r>
      <w:r w:rsidR="00C61D13" w:rsidRPr="00DD468C">
        <w:rPr>
          <w:rFonts w:cs="Helvetica"/>
        </w:rPr>
        <w:t xml:space="preserve"> in untreated fibroblasts</w:t>
      </w:r>
      <w:r w:rsidRPr="00DD468C">
        <w:rPr>
          <w:rFonts w:cs="Helvetica"/>
        </w:rPr>
        <w:t xml:space="preserve"> (categorized by chromatin accessibility). P-values were calculated using the two-tailed unpaired Student’s t-test with equal variances. (***) P&lt;0.001, (*) P&lt;0.05. (B) Differential eRNA expression at p53 binding sites (categorized by chromatin accessibility) in response to doxorubicin treatment. P-values were calculated using the two-tailed unpaired Student’s t-test with equal variances. (***) P&lt;0.001, (**) P&lt;0.01, (*) P&lt;0.05. (C) Examples of eRNA expression from p53 binding sites within constitutively </w:t>
      </w:r>
      <w:r w:rsidR="00031CED">
        <w:rPr>
          <w:rFonts w:cs="Helvetica"/>
        </w:rPr>
        <w:t>in</w:t>
      </w:r>
      <w:r w:rsidRPr="00DD468C">
        <w:rPr>
          <w:rFonts w:cs="Helvetica"/>
        </w:rPr>
        <w:t>accessi</w:t>
      </w:r>
      <w:r w:rsidR="00031CED">
        <w:rPr>
          <w:rFonts w:cs="Helvetica"/>
        </w:rPr>
        <w:t xml:space="preserve">ble chromatin, constitutively </w:t>
      </w:r>
      <w:r w:rsidRPr="00DD468C">
        <w:rPr>
          <w:rFonts w:cs="Helvetica"/>
        </w:rPr>
        <w:t>accessible chromatin, and pioneering sites.</w:t>
      </w:r>
    </w:p>
    <w:p w14:paraId="5FF9EEA5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</w:p>
    <w:p w14:paraId="5D2C2E2D" w14:textId="77777777" w:rsidR="00447632" w:rsidRPr="00DD468C" w:rsidRDefault="00447632" w:rsidP="004476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>
        <w:rPr>
          <w:rFonts w:cs="Helvetica"/>
          <w:b/>
        </w:rPr>
        <w:t>Supplemental Figure S5</w:t>
      </w:r>
      <w:r w:rsidRPr="00DD468C">
        <w:rPr>
          <w:rFonts w:cs="Helvetica"/>
          <w:b/>
        </w:rPr>
        <w:t>. p53 is poised on enhancers within inaccessible chromatin</w:t>
      </w:r>
    </w:p>
    <w:p w14:paraId="02F4699D" w14:textId="1528A152" w:rsidR="00447632" w:rsidRPr="00DD468C" w:rsidRDefault="00447632" w:rsidP="004476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</w:rPr>
        <w:t>(A)</w:t>
      </w:r>
      <w:r w:rsidRPr="00DD468C">
        <w:t xml:space="preserve"> </w:t>
      </w:r>
      <w:r w:rsidRPr="00DD468C">
        <w:rPr>
          <w:rFonts w:cs="Helvetica"/>
        </w:rPr>
        <w:t xml:space="preserve">Example of p53 binding at </w:t>
      </w:r>
      <w:r w:rsidR="00BE63A6">
        <w:rPr>
          <w:rFonts w:cs="Helvetica"/>
        </w:rPr>
        <w:t xml:space="preserve">a </w:t>
      </w:r>
      <w:r w:rsidR="00FF0184">
        <w:rPr>
          <w:rFonts w:cs="Helvetica"/>
        </w:rPr>
        <w:t>pioneering site. (B) Promoter-P</w:t>
      </w:r>
      <w:r w:rsidRPr="00DD468C">
        <w:rPr>
          <w:rFonts w:cs="Helvetica"/>
        </w:rPr>
        <w:t>roximal MPRA corresponding to selecte</w:t>
      </w:r>
      <w:r w:rsidR="00FF0184">
        <w:rPr>
          <w:rFonts w:cs="Helvetica"/>
        </w:rPr>
        <w:t>d enhancer locus. (C) Promoter-D</w:t>
      </w:r>
      <w:bookmarkStart w:id="0" w:name="_GoBack"/>
      <w:bookmarkEnd w:id="0"/>
      <w:r w:rsidRPr="00DD468C">
        <w:rPr>
          <w:rFonts w:cs="Helvetica"/>
        </w:rPr>
        <w:t>istal MPRA corresponding to selected enhancer locus. (D)</w:t>
      </w:r>
      <w:r w:rsidRPr="00DD468C">
        <w:t xml:space="preserve"> </w:t>
      </w:r>
      <w:r w:rsidRPr="00DD468C">
        <w:rPr>
          <w:rFonts w:cs="Helvetica"/>
        </w:rPr>
        <w:t>ChIP-qPCR analysis of p53 occupancy at selected enhancer locus in response to DNA damage.</w:t>
      </w:r>
      <w:r w:rsidRPr="00DD468C">
        <w:rPr>
          <w:rFonts w:cs="Helvetica"/>
          <w:b/>
        </w:rPr>
        <w:t xml:space="preserve"> </w:t>
      </w:r>
      <w:r w:rsidRPr="00DD468C">
        <w:rPr>
          <w:rFonts w:cs="Helvetica"/>
        </w:rPr>
        <w:t>Error bars indicate SEM (n = 3). (E)</w:t>
      </w:r>
      <w:r w:rsidRPr="00DD468C">
        <w:t xml:space="preserve"> </w:t>
      </w:r>
      <w:r w:rsidRPr="00DD468C">
        <w:rPr>
          <w:rFonts w:cs="Helvetica"/>
        </w:rPr>
        <w:t>ChIP-qPCR analysis of phospho-p53 occupancy at selected enhancer locus in response to DNA damage. Error bars indicate SEM (n = 3). P-values were calculated using the two-tailed unpaired Student’s t-test with equal variances. (**) P&lt;0.01.</w:t>
      </w:r>
    </w:p>
    <w:p w14:paraId="12451360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</w:p>
    <w:p w14:paraId="7EA6DEB1" w14:textId="77777777" w:rsidR="00283690" w:rsidRPr="00DD468C" w:rsidRDefault="0028369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</w:p>
    <w:p w14:paraId="7F04FEC5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S1. Sequences of MPRA oligonucleotide pool</w:t>
      </w:r>
    </w:p>
    <w:p w14:paraId="7DAED4E8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S2. Promoter-Proximal MPRA results</w:t>
      </w:r>
    </w:p>
    <w:p w14:paraId="372AC689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S3. Promoter-Distal MPRA results</w:t>
      </w:r>
    </w:p>
    <w:p w14:paraId="7F0F5227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S4. p53 binding sites (chromatin accessibility and differential gene expression)</w:t>
      </w:r>
    </w:p>
    <w:p w14:paraId="09CFA0F3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S5. p53 binding sites (chromatin accessibility and differential enhancer RNA expression)</w:t>
      </w:r>
    </w:p>
    <w:p w14:paraId="7D5E4AA3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S6. p53 binding sites (chromatin accessibility and Promoter-Proximal MPRA expression)</w:t>
      </w:r>
    </w:p>
    <w:p w14:paraId="2562508B" w14:textId="77777777" w:rsidR="00DB4EA0" w:rsidRPr="00DD468C" w:rsidRDefault="00DB4EA0" w:rsidP="00DB4E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  <w:b/>
        </w:rPr>
      </w:pPr>
      <w:r w:rsidRPr="00DD468C">
        <w:rPr>
          <w:rFonts w:cs="Helvetica"/>
          <w:b/>
        </w:rPr>
        <w:t>Supplemental Table S7. p53 binding sites (chromatin accessibility and Promoter-Distal MPRA expression)</w:t>
      </w:r>
    </w:p>
    <w:p w14:paraId="391BD861" w14:textId="4D569E58" w:rsidR="00F63097" w:rsidRPr="00043858" w:rsidRDefault="00DB4EA0" w:rsidP="0004385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cs="Helvetica"/>
        </w:rPr>
      </w:pPr>
      <w:r w:rsidRPr="00DD468C">
        <w:rPr>
          <w:rFonts w:cs="Helvetica"/>
          <w:b/>
        </w:rPr>
        <w:t>Supplemental Table S8. PCR primers and condition</w:t>
      </w:r>
      <w:r w:rsidR="00043858">
        <w:rPr>
          <w:rFonts w:cs="Helvetica"/>
          <w:b/>
        </w:rPr>
        <w:t>s</w:t>
      </w:r>
    </w:p>
    <w:sectPr w:rsidR="00F63097" w:rsidRPr="00043858" w:rsidSect="00601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D29"/>
    <w:rsid w:val="000065F5"/>
    <w:rsid w:val="00013837"/>
    <w:rsid w:val="000149A2"/>
    <w:rsid w:val="00016787"/>
    <w:rsid w:val="00025056"/>
    <w:rsid w:val="00031CED"/>
    <w:rsid w:val="00032C6A"/>
    <w:rsid w:val="00032EF9"/>
    <w:rsid w:val="00043858"/>
    <w:rsid w:val="00070D2B"/>
    <w:rsid w:val="00081409"/>
    <w:rsid w:val="00087C5E"/>
    <w:rsid w:val="000F29F7"/>
    <w:rsid w:val="00117422"/>
    <w:rsid w:val="00121F2C"/>
    <w:rsid w:val="001438C9"/>
    <w:rsid w:val="00145E0C"/>
    <w:rsid w:val="00147063"/>
    <w:rsid w:val="001621B9"/>
    <w:rsid w:val="00162C11"/>
    <w:rsid w:val="001667FA"/>
    <w:rsid w:val="00174013"/>
    <w:rsid w:val="00182A9C"/>
    <w:rsid w:val="001A749B"/>
    <w:rsid w:val="001B042C"/>
    <w:rsid w:val="001F58CE"/>
    <w:rsid w:val="00211170"/>
    <w:rsid w:val="00226578"/>
    <w:rsid w:val="00242C4B"/>
    <w:rsid w:val="00247C12"/>
    <w:rsid w:val="00266822"/>
    <w:rsid w:val="00283690"/>
    <w:rsid w:val="002874B0"/>
    <w:rsid w:val="0028788D"/>
    <w:rsid w:val="00297AE7"/>
    <w:rsid w:val="002A514B"/>
    <w:rsid w:val="002A5DE1"/>
    <w:rsid w:val="002B5F22"/>
    <w:rsid w:val="002D05C2"/>
    <w:rsid w:val="002D1212"/>
    <w:rsid w:val="002D137C"/>
    <w:rsid w:val="002D3DBC"/>
    <w:rsid w:val="002E40A3"/>
    <w:rsid w:val="002F1431"/>
    <w:rsid w:val="00302048"/>
    <w:rsid w:val="00302DE1"/>
    <w:rsid w:val="0031354B"/>
    <w:rsid w:val="003335E8"/>
    <w:rsid w:val="003449C4"/>
    <w:rsid w:val="003767E5"/>
    <w:rsid w:val="00377583"/>
    <w:rsid w:val="00382740"/>
    <w:rsid w:val="00391DA4"/>
    <w:rsid w:val="003A2E9A"/>
    <w:rsid w:val="003A4198"/>
    <w:rsid w:val="003A5D47"/>
    <w:rsid w:val="003A7C94"/>
    <w:rsid w:val="003B13D3"/>
    <w:rsid w:val="003B4293"/>
    <w:rsid w:val="003C1D9F"/>
    <w:rsid w:val="003D2BB9"/>
    <w:rsid w:val="003D6592"/>
    <w:rsid w:val="003E0470"/>
    <w:rsid w:val="003F7ABA"/>
    <w:rsid w:val="004254C5"/>
    <w:rsid w:val="004325E5"/>
    <w:rsid w:val="004445E6"/>
    <w:rsid w:val="00447632"/>
    <w:rsid w:val="00475731"/>
    <w:rsid w:val="004D040F"/>
    <w:rsid w:val="004D6760"/>
    <w:rsid w:val="00513CA1"/>
    <w:rsid w:val="005332A9"/>
    <w:rsid w:val="00535553"/>
    <w:rsid w:val="005452AE"/>
    <w:rsid w:val="00547F27"/>
    <w:rsid w:val="005505AD"/>
    <w:rsid w:val="0057062F"/>
    <w:rsid w:val="00574F2C"/>
    <w:rsid w:val="00582570"/>
    <w:rsid w:val="005C21F0"/>
    <w:rsid w:val="005D031A"/>
    <w:rsid w:val="0060148F"/>
    <w:rsid w:val="006057FB"/>
    <w:rsid w:val="00606E2E"/>
    <w:rsid w:val="00610C61"/>
    <w:rsid w:val="006111F4"/>
    <w:rsid w:val="006207A5"/>
    <w:rsid w:val="00625680"/>
    <w:rsid w:val="00640C7B"/>
    <w:rsid w:val="00655620"/>
    <w:rsid w:val="0068220E"/>
    <w:rsid w:val="006A6CD9"/>
    <w:rsid w:val="006C3D8B"/>
    <w:rsid w:val="006D4200"/>
    <w:rsid w:val="006F1CAB"/>
    <w:rsid w:val="006F22B1"/>
    <w:rsid w:val="007033FA"/>
    <w:rsid w:val="007058F4"/>
    <w:rsid w:val="00716E55"/>
    <w:rsid w:val="007517FD"/>
    <w:rsid w:val="00773F51"/>
    <w:rsid w:val="007746E4"/>
    <w:rsid w:val="00794FB2"/>
    <w:rsid w:val="007B3843"/>
    <w:rsid w:val="007C3601"/>
    <w:rsid w:val="00815B7D"/>
    <w:rsid w:val="00816AA5"/>
    <w:rsid w:val="00822A36"/>
    <w:rsid w:val="0082728D"/>
    <w:rsid w:val="00860C23"/>
    <w:rsid w:val="008648DC"/>
    <w:rsid w:val="00875D29"/>
    <w:rsid w:val="008968BE"/>
    <w:rsid w:val="008A7013"/>
    <w:rsid w:val="008C6D86"/>
    <w:rsid w:val="008E2298"/>
    <w:rsid w:val="008E7616"/>
    <w:rsid w:val="009036C6"/>
    <w:rsid w:val="00924AAD"/>
    <w:rsid w:val="00931A95"/>
    <w:rsid w:val="00935BA2"/>
    <w:rsid w:val="00936594"/>
    <w:rsid w:val="00945DCD"/>
    <w:rsid w:val="00947EC2"/>
    <w:rsid w:val="009B0E88"/>
    <w:rsid w:val="009D6775"/>
    <w:rsid w:val="009E2795"/>
    <w:rsid w:val="00A1220B"/>
    <w:rsid w:val="00A22E73"/>
    <w:rsid w:val="00A365B9"/>
    <w:rsid w:val="00A43521"/>
    <w:rsid w:val="00A54297"/>
    <w:rsid w:val="00A56C54"/>
    <w:rsid w:val="00A620DC"/>
    <w:rsid w:val="00A83B9D"/>
    <w:rsid w:val="00AA4601"/>
    <w:rsid w:val="00AA5019"/>
    <w:rsid w:val="00AA6A41"/>
    <w:rsid w:val="00AB6731"/>
    <w:rsid w:val="00AC0577"/>
    <w:rsid w:val="00AD1D66"/>
    <w:rsid w:val="00B06195"/>
    <w:rsid w:val="00B063BB"/>
    <w:rsid w:val="00B17BA9"/>
    <w:rsid w:val="00B212F3"/>
    <w:rsid w:val="00B230A3"/>
    <w:rsid w:val="00B23122"/>
    <w:rsid w:val="00B2558F"/>
    <w:rsid w:val="00B27AC7"/>
    <w:rsid w:val="00B33DC6"/>
    <w:rsid w:val="00B35149"/>
    <w:rsid w:val="00B3685A"/>
    <w:rsid w:val="00B6229F"/>
    <w:rsid w:val="00B83866"/>
    <w:rsid w:val="00B9299B"/>
    <w:rsid w:val="00B97968"/>
    <w:rsid w:val="00BB6631"/>
    <w:rsid w:val="00BC2258"/>
    <w:rsid w:val="00BC44DC"/>
    <w:rsid w:val="00BC5B88"/>
    <w:rsid w:val="00BD33AA"/>
    <w:rsid w:val="00BE63A6"/>
    <w:rsid w:val="00C11473"/>
    <w:rsid w:val="00C14161"/>
    <w:rsid w:val="00C50AFC"/>
    <w:rsid w:val="00C61D13"/>
    <w:rsid w:val="00C706FC"/>
    <w:rsid w:val="00C72757"/>
    <w:rsid w:val="00C73D10"/>
    <w:rsid w:val="00CB3A8E"/>
    <w:rsid w:val="00CD6C3E"/>
    <w:rsid w:val="00CE3044"/>
    <w:rsid w:val="00CF7417"/>
    <w:rsid w:val="00D01609"/>
    <w:rsid w:val="00D02F0E"/>
    <w:rsid w:val="00D16C01"/>
    <w:rsid w:val="00D177BB"/>
    <w:rsid w:val="00D30694"/>
    <w:rsid w:val="00D41118"/>
    <w:rsid w:val="00D52D00"/>
    <w:rsid w:val="00D54185"/>
    <w:rsid w:val="00D56E62"/>
    <w:rsid w:val="00D62C4D"/>
    <w:rsid w:val="00D63822"/>
    <w:rsid w:val="00D82C83"/>
    <w:rsid w:val="00D86192"/>
    <w:rsid w:val="00D9235F"/>
    <w:rsid w:val="00D937BE"/>
    <w:rsid w:val="00DA73C8"/>
    <w:rsid w:val="00DB4EA0"/>
    <w:rsid w:val="00DC4F1A"/>
    <w:rsid w:val="00DD2B7C"/>
    <w:rsid w:val="00DD468C"/>
    <w:rsid w:val="00E34193"/>
    <w:rsid w:val="00E937BE"/>
    <w:rsid w:val="00EA4AA9"/>
    <w:rsid w:val="00EC5E26"/>
    <w:rsid w:val="00EE7C45"/>
    <w:rsid w:val="00F44AB1"/>
    <w:rsid w:val="00F50875"/>
    <w:rsid w:val="00F60280"/>
    <w:rsid w:val="00F63097"/>
    <w:rsid w:val="00F77F31"/>
    <w:rsid w:val="00FD3778"/>
    <w:rsid w:val="00FD6B7D"/>
    <w:rsid w:val="00FD71B8"/>
    <w:rsid w:val="00FD7888"/>
    <w:rsid w:val="00FE693B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7F35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17BA9"/>
    <w:rPr>
      <w:rFonts w:ascii="Helvetica" w:eastAsiaTheme="minorEastAsia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617</Words>
  <Characters>3519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 Institute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Scott Younger</cp:lastModifiedBy>
  <cp:revision>81</cp:revision>
  <dcterms:created xsi:type="dcterms:W3CDTF">2017-05-15T15:01:00Z</dcterms:created>
  <dcterms:modified xsi:type="dcterms:W3CDTF">2017-07-12T02:35:00Z</dcterms:modified>
</cp:coreProperties>
</file>